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BD" w:rsidRPr="004765C7" w:rsidRDefault="00DB34BD" w:rsidP="00DB34BD">
      <w:pPr>
        <w:widowControl w:val="0"/>
        <w:tabs>
          <w:tab w:val="left" w:pos="90"/>
          <w:tab w:val="center" w:pos="1110"/>
          <w:tab w:val="center" w:pos="2334"/>
          <w:tab w:val="center" w:pos="4195"/>
          <w:tab w:val="left" w:pos="5329"/>
        </w:tabs>
        <w:spacing w:before="480"/>
        <w:jc w:val="center"/>
        <w:rPr>
          <w:rFonts w:ascii="Arial" w:hAnsi="Arial" w:cs="Arial"/>
          <w:b/>
          <w:i/>
          <w:snapToGrid w:val="0"/>
          <w:color w:val="000080"/>
          <w:sz w:val="22"/>
        </w:rPr>
      </w:pPr>
      <w:r w:rsidRPr="004765C7">
        <w:rPr>
          <w:rFonts w:ascii="Arial" w:hAnsi="Arial" w:cs="Arial"/>
          <w:b/>
          <w:i/>
          <w:snapToGrid w:val="0"/>
          <w:color w:val="000080"/>
          <w:sz w:val="22"/>
        </w:rPr>
        <w:t>SHIRE OF CUNDERDIN</w:t>
      </w:r>
    </w:p>
    <w:p w:rsidR="00DB34BD" w:rsidRPr="004765C7" w:rsidRDefault="00DB34BD" w:rsidP="00DB34BD">
      <w:pPr>
        <w:widowControl w:val="0"/>
        <w:tabs>
          <w:tab w:val="left" w:pos="90"/>
          <w:tab w:val="center" w:pos="1110"/>
          <w:tab w:val="center" w:pos="2334"/>
          <w:tab w:val="center" w:pos="4195"/>
          <w:tab w:val="left" w:pos="5329"/>
        </w:tabs>
        <w:spacing w:before="480"/>
        <w:jc w:val="center"/>
        <w:rPr>
          <w:rFonts w:ascii="Arial" w:hAnsi="Arial" w:cs="Arial"/>
          <w:b/>
          <w:i/>
          <w:snapToGrid w:val="0"/>
          <w:color w:val="000080"/>
          <w:sz w:val="22"/>
        </w:rPr>
      </w:pPr>
      <w:r w:rsidRPr="004765C7">
        <w:rPr>
          <w:rFonts w:ascii="Arial" w:hAnsi="Arial" w:cs="Arial"/>
          <w:b/>
          <w:i/>
          <w:snapToGrid w:val="0"/>
          <w:color w:val="000080"/>
          <w:sz w:val="22"/>
        </w:rPr>
        <w:t>REGIONAL PRICE PREFERENCE POLICY</w:t>
      </w:r>
    </w:p>
    <w:p w:rsidR="00DB34BD" w:rsidRPr="004765C7" w:rsidRDefault="00DB34BD" w:rsidP="00DB34BD">
      <w:pPr>
        <w:widowControl w:val="0"/>
        <w:tabs>
          <w:tab w:val="left" w:pos="90"/>
          <w:tab w:val="center" w:pos="1110"/>
          <w:tab w:val="center" w:pos="2334"/>
          <w:tab w:val="center" w:pos="4195"/>
          <w:tab w:val="left" w:pos="5329"/>
        </w:tabs>
        <w:spacing w:before="480"/>
        <w:jc w:val="both"/>
        <w:rPr>
          <w:rFonts w:ascii="Arial" w:hAnsi="Arial" w:cs="Arial"/>
          <w:b/>
          <w:i/>
          <w:snapToGrid w:val="0"/>
          <w:sz w:val="25"/>
        </w:rPr>
      </w:pPr>
      <w:r w:rsidRPr="004765C7">
        <w:rPr>
          <w:rFonts w:ascii="Arial" w:hAnsi="Arial" w:cs="Arial"/>
          <w:b/>
          <w:i/>
          <w:snapToGrid w:val="0"/>
          <w:color w:val="000080"/>
          <w:sz w:val="22"/>
        </w:rPr>
        <w:t>No</w:t>
      </w:r>
      <w:r w:rsidRPr="004765C7">
        <w:rPr>
          <w:rFonts w:ascii="Arial" w:hAnsi="Arial" w:cs="Arial"/>
          <w:snapToGrid w:val="0"/>
        </w:rPr>
        <w:tab/>
      </w:r>
      <w:r w:rsidRPr="0013240A">
        <w:rPr>
          <w:rFonts w:ascii="Arial" w:hAnsi="Arial" w:cs="Arial"/>
          <w:snapToGrid w:val="0"/>
          <w:sz w:val="16"/>
        </w:rPr>
        <w:t>2</w:t>
      </w:r>
      <w:r w:rsidRPr="004765C7">
        <w:rPr>
          <w:rFonts w:ascii="Arial" w:hAnsi="Arial" w:cs="Arial"/>
          <w:snapToGrid w:val="0"/>
          <w:sz w:val="16"/>
        </w:rPr>
        <w:t>6</w:t>
      </w:r>
      <w:r w:rsidRPr="004765C7">
        <w:rPr>
          <w:rFonts w:ascii="Arial" w:hAnsi="Arial" w:cs="Arial"/>
          <w:snapToGrid w:val="0"/>
          <w:sz w:val="16"/>
        </w:rPr>
        <w:tab/>
      </w:r>
      <w:r w:rsidRPr="004765C7">
        <w:rPr>
          <w:rFonts w:ascii="Arial" w:hAnsi="Arial" w:cs="Arial"/>
          <w:b/>
          <w:i/>
          <w:snapToGrid w:val="0"/>
          <w:color w:val="000080"/>
          <w:sz w:val="22"/>
        </w:rPr>
        <w:t xml:space="preserve">Date </w:t>
      </w:r>
      <w:r w:rsidRPr="004765C7">
        <w:rPr>
          <w:rFonts w:ascii="Arial" w:hAnsi="Arial" w:cs="Arial"/>
          <w:snapToGrid w:val="0"/>
        </w:rPr>
        <w:tab/>
      </w:r>
      <w:r>
        <w:rPr>
          <w:rFonts w:ascii="Arial" w:hAnsi="Arial" w:cs="Arial"/>
          <w:snapToGrid w:val="0"/>
          <w:color w:val="000000"/>
          <w:sz w:val="16"/>
        </w:rPr>
        <w:t>June</w:t>
      </w:r>
      <w:r w:rsidRPr="004765C7">
        <w:rPr>
          <w:rFonts w:ascii="Arial" w:hAnsi="Arial" w:cs="Arial"/>
          <w:snapToGrid w:val="0"/>
          <w:color w:val="000000"/>
          <w:sz w:val="16"/>
        </w:rPr>
        <w:t xml:space="preserve"> 2011</w:t>
      </w:r>
      <w:r w:rsidRPr="004765C7">
        <w:rPr>
          <w:rFonts w:ascii="Arial" w:hAnsi="Arial" w:cs="Arial"/>
          <w:snapToGrid w:val="0"/>
        </w:rPr>
        <w:tab/>
      </w:r>
      <w:r w:rsidRPr="004765C7">
        <w:rPr>
          <w:rFonts w:ascii="Arial" w:hAnsi="Arial" w:cs="Arial"/>
          <w:b/>
          <w:i/>
          <w:snapToGrid w:val="0"/>
          <w:color w:val="000080"/>
          <w:sz w:val="22"/>
        </w:rPr>
        <w:t>Date Reviewed</w:t>
      </w:r>
      <w:r w:rsidRPr="004765C7">
        <w:rPr>
          <w:rFonts w:ascii="Arial" w:hAnsi="Arial" w:cs="Arial"/>
          <w:b/>
          <w:i/>
          <w:snapToGrid w:val="0"/>
          <w:color w:val="000080"/>
          <w:sz w:val="22"/>
        </w:rPr>
        <w:tab/>
      </w:r>
    </w:p>
    <w:p w:rsidR="00DB34BD" w:rsidRPr="004765C7" w:rsidRDefault="00DB34BD" w:rsidP="00DB34BD">
      <w:pPr>
        <w:rPr>
          <w:rFonts w:ascii="Arial" w:hAnsi="Arial" w:cs="Arial"/>
          <w:b/>
          <w:i/>
          <w:snapToGrid w:val="0"/>
          <w:color w:val="000080"/>
          <w:sz w:val="22"/>
        </w:rPr>
      </w:pPr>
      <w:r w:rsidRPr="004765C7">
        <w:rPr>
          <w:rFonts w:ascii="Arial" w:hAnsi="Arial" w:cs="Arial"/>
          <w:b/>
          <w:i/>
          <w:snapToGrid w:val="0"/>
          <w:color w:val="000080"/>
          <w:sz w:val="22"/>
        </w:rPr>
        <w:t xml:space="preserve"> </w:t>
      </w:r>
    </w:p>
    <w:p w:rsidR="00DB34BD" w:rsidRPr="004765C7" w:rsidRDefault="00DB34BD" w:rsidP="00DB34BD">
      <w:pPr>
        <w:rPr>
          <w:rFonts w:ascii="Arial" w:hAnsi="Arial" w:cs="Arial"/>
          <w:sz w:val="16"/>
        </w:rPr>
      </w:pPr>
      <w:r w:rsidRPr="004765C7">
        <w:rPr>
          <w:rFonts w:ascii="Arial" w:hAnsi="Arial" w:cs="Arial"/>
          <w:b/>
          <w:i/>
          <w:snapToGrid w:val="0"/>
          <w:color w:val="000080"/>
          <w:sz w:val="22"/>
        </w:rPr>
        <w:t>References</w:t>
      </w:r>
      <w:r w:rsidRPr="004765C7">
        <w:rPr>
          <w:rFonts w:ascii="Arial" w:hAnsi="Arial" w:cs="Arial"/>
          <w:snapToGrid w:val="0"/>
        </w:rPr>
        <w:tab/>
      </w:r>
      <w:r w:rsidRPr="004765C7">
        <w:rPr>
          <w:rFonts w:ascii="Arial" w:hAnsi="Arial" w:cs="Arial"/>
          <w:snapToGrid w:val="0"/>
        </w:rPr>
        <w:tab/>
      </w:r>
      <w:r w:rsidRPr="004765C7">
        <w:rPr>
          <w:rFonts w:ascii="Arial" w:hAnsi="Arial" w:cs="Arial"/>
          <w:sz w:val="16"/>
        </w:rPr>
        <w:t xml:space="preserve">Local Government (Functions and General) Regulations 1996, Part 4A.  </w:t>
      </w:r>
    </w:p>
    <w:p w:rsidR="00DB34BD" w:rsidRPr="004765C7" w:rsidRDefault="00DB34BD" w:rsidP="00DB34BD">
      <w:pPr>
        <w:widowControl w:val="0"/>
        <w:tabs>
          <w:tab w:val="left" w:pos="90"/>
          <w:tab w:val="center" w:pos="5433"/>
        </w:tabs>
        <w:spacing w:before="240"/>
        <w:jc w:val="both"/>
        <w:rPr>
          <w:rFonts w:ascii="Arial" w:hAnsi="Arial" w:cs="Arial"/>
          <w:b/>
          <w:snapToGrid w:val="0"/>
          <w:color w:val="000000"/>
          <w:sz w:val="16"/>
          <w:u w:val="single"/>
        </w:rPr>
      </w:pPr>
      <w:r w:rsidRPr="004765C7">
        <w:rPr>
          <w:rFonts w:ascii="Arial" w:hAnsi="Arial" w:cs="Arial"/>
          <w:b/>
          <w:i/>
          <w:snapToGrid w:val="0"/>
          <w:color w:val="000080"/>
          <w:sz w:val="22"/>
        </w:rPr>
        <w:t xml:space="preserve"> Subject</w:t>
      </w:r>
      <w:r w:rsidRPr="004765C7">
        <w:rPr>
          <w:rFonts w:ascii="Arial" w:hAnsi="Arial" w:cs="Arial"/>
          <w:snapToGrid w:val="0"/>
        </w:rPr>
        <w:t xml:space="preserve">                    </w:t>
      </w:r>
      <w:r w:rsidRPr="004765C7">
        <w:rPr>
          <w:rFonts w:ascii="Arial" w:hAnsi="Arial" w:cs="Arial"/>
          <w:b/>
          <w:snapToGrid w:val="0"/>
          <w:color w:val="000000"/>
          <w:sz w:val="16"/>
          <w:u w:val="single"/>
        </w:rPr>
        <w:t xml:space="preserve">Financial Management - </w:t>
      </w:r>
      <w:r w:rsidRPr="004765C7">
        <w:rPr>
          <w:rFonts w:ascii="Arial" w:hAnsi="Arial" w:cs="Arial"/>
          <w:sz w:val="16"/>
        </w:rPr>
        <w:t>Regional Price Preference</w:t>
      </w:r>
    </w:p>
    <w:p w:rsidR="00DB34BD" w:rsidRPr="004765C7" w:rsidRDefault="00DB34BD" w:rsidP="00DB34BD">
      <w:pPr>
        <w:widowControl w:val="0"/>
        <w:tabs>
          <w:tab w:val="left" w:pos="1976"/>
        </w:tabs>
        <w:jc w:val="both"/>
        <w:rPr>
          <w:rFonts w:ascii="Arial" w:hAnsi="Arial" w:cs="Arial"/>
          <w:b/>
          <w:bCs/>
        </w:rPr>
      </w:pPr>
      <w:r w:rsidRPr="004765C7">
        <w:rPr>
          <w:rFonts w:ascii="Arial" w:hAnsi="Arial" w:cs="Arial"/>
          <w:b/>
          <w:i/>
          <w:snapToGrid w:val="0"/>
          <w:color w:val="000080"/>
          <w:sz w:val="22"/>
        </w:rPr>
        <w:t xml:space="preserve"> Policy</w:t>
      </w:r>
      <w:r w:rsidRPr="004765C7">
        <w:rPr>
          <w:rFonts w:ascii="Arial" w:hAnsi="Arial" w:cs="Arial"/>
          <w:snapToGrid w:val="0"/>
        </w:rPr>
        <w:tab/>
      </w:r>
    </w:p>
    <w:p w:rsidR="00DB34BD" w:rsidRPr="004765C7" w:rsidRDefault="00DB34BD" w:rsidP="00DB34BD">
      <w:pPr>
        <w:numPr>
          <w:ilvl w:val="0"/>
          <w:numId w:val="1"/>
        </w:numPr>
        <w:rPr>
          <w:rFonts w:ascii="Arial" w:hAnsi="Arial" w:cs="Arial"/>
          <w:sz w:val="16"/>
        </w:rPr>
      </w:pPr>
      <w:r w:rsidRPr="004765C7">
        <w:rPr>
          <w:rFonts w:ascii="Arial" w:hAnsi="Arial" w:cs="Arial"/>
          <w:sz w:val="16"/>
        </w:rPr>
        <w:t>Subject to statement (2) below a regional price preference of 10% is to apply to</w:t>
      </w:r>
    </w:p>
    <w:p w:rsidR="00DB34BD" w:rsidRPr="004765C7" w:rsidRDefault="00DB34BD" w:rsidP="00DB34BD">
      <w:pPr>
        <w:ind w:left="3060"/>
        <w:rPr>
          <w:rFonts w:ascii="Arial" w:hAnsi="Arial" w:cs="Arial"/>
          <w:sz w:val="16"/>
        </w:rPr>
      </w:pPr>
    </w:p>
    <w:p w:rsidR="00DB34BD" w:rsidRPr="004765C7" w:rsidRDefault="00DB34BD" w:rsidP="00DB34BD">
      <w:pPr>
        <w:numPr>
          <w:ilvl w:val="2"/>
          <w:numId w:val="1"/>
        </w:numPr>
        <w:rPr>
          <w:rFonts w:ascii="Arial" w:hAnsi="Arial" w:cs="Arial"/>
          <w:sz w:val="16"/>
        </w:rPr>
      </w:pPr>
      <w:r w:rsidRPr="004765C7">
        <w:rPr>
          <w:rFonts w:ascii="Arial" w:hAnsi="Arial" w:cs="Arial"/>
          <w:sz w:val="16"/>
        </w:rPr>
        <w:t>a tenderer for the supply of goods and services who has been operating continuously out of premises in the Shire of Cunderdin for at least 6 months;</w:t>
      </w:r>
    </w:p>
    <w:p w:rsidR="00DB34BD" w:rsidRPr="004765C7" w:rsidRDefault="00DB34BD" w:rsidP="00DB34BD">
      <w:pPr>
        <w:ind w:left="3420"/>
        <w:rPr>
          <w:rFonts w:ascii="Arial" w:hAnsi="Arial" w:cs="Arial"/>
          <w:sz w:val="16"/>
        </w:rPr>
      </w:pPr>
    </w:p>
    <w:p w:rsidR="00DB34BD" w:rsidRPr="004765C7" w:rsidRDefault="00DB34BD" w:rsidP="00DB34BD">
      <w:pPr>
        <w:numPr>
          <w:ilvl w:val="2"/>
          <w:numId w:val="1"/>
        </w:numPr>
        <w:rPr>
          <w:rFonts w:ascii="Arial" w:hAnsi="Arial" w:cs="Arial"/>
          <w:sz w:val="16"/>
        </w:rPr>
      </w:pPr>
      <w:r w:rsidRPr="004765C7">
        <w:rPr>
          <w:rFonts w:ascii="Arial" w:hAnsi="Arial" w:cs="Arial"/>
          <w:sz w:val="16"/>
        </w:rPr>
        <w:t>a tenderer for the supply of goods and services not  established within the Shire of Cunderdin on that component of the price relating to goods and services supplied from sources within the Shire of Cunderdin;</w:t>
      </w:r>
    </w:p>
    <w:p w:rsidR="00DB34BD" w:rsidRPr="004765C7" w:rsidRDefault="00DB34BD" w:rsidP="00DB34BD">
      <w:pPr>
        <w:ind w:left="720"/>
        <w:rPr>
          <w:rFonts w:ascii="Arial" w:hAnsi="Arial" w:cs="Arial"/>
          <w:sz w:val="16"/>
        </w:rPr>
      </w:pPr>
    </w:p>
    <w:p w:rsidR="00DB34BD" w:rsidRPr="004765C7" w:rsidRDefault="00DB34BD" w:rsidP="00DB34BD">
      <w:pPr>
        <w:numPr>
          <w:ilvl w:val="0"/>
          <w:numId w:val="1"/>
        </w:numPr>
        <w:rPr>
          <w:rFonts w:ascii="Arial" w:hAnsi="Arial" w:cs="Arial"/>
          <w:sz w:val="16"/>
        </w:rPr>
      </w:pPr>
      <w:r w:rsidRPr="004765C7">
        <w:rPr>
          <w:rFonts w:ascii="Arial" w:hAnsi="Arial" w:cs="Arial"/>
          <w:sz w:val="16"/>
        </w:rPr>
        <w:t>A regional price preference of 5% is to apply to-</w:t>
      </w:r>
    </w:p>
    <w:p w:rsidR="00DB34BD" w:rsidRPr="004765C7" w:rsidRDefault="00DB34BD" w:rsidP="00DB34BD">
      <w:pPr>
        <w:ind w:left="3060"/>
        <w:rPr>
          <w:rFonts w:ascii="Arial" w:hAnsi="Arial" w:cs="Arial"/>
          <w:sz w:val="16"/>
        </w:rPr>
      </w:pPr>
    </w:p>
    <w:p w:rsidR="00DB34BD" w:rsidRPr="004765C7" w:rsidRDefault="00DB34BD" w:rsidP="00DB34BD">
      <w:pPr>
        <w:numPr>
          <w:ilvl w:val="2"/>
          <w:numId w:val="1"/>
        </w:numPr>
        <w:rPr>
          <w:rFonts w:ascii="Arial" w:hAnsi="Arial" w:cs="Arial"/>
          <w:sz w:val="16"/>
        </w:rPr>
      </w:pPr>
      <w:r w:rsidRPr="004765C7">
        <w:rPr>
          <w:rFonts w:ascii="Arial" w:hAnsi="Arial" w:cs="Arial"/>
          <w:sz w:val="16"/>
        </w:rPr>
        <w:t>a tenderer for the supply of construction (building) services who has been operating a business out of premises in the Shire of Cunderdin for at least 6 months;</w:t>
      </w:r>
    </w:p>
    <w:p w:rsidR="00DB34BD" w:rsidRPr="004765C7" w:rsidRDefault="00DB34BD" w:rsidP="00DB34BD">
      <w:pPr>
        <w:ind w:left="3420"/>
        <w:rPr>
          <w:rFonts w:ascii="Arial" w:hAnsi="Arial" w:cs="Arial"/>
          <w:sz w:val="16"/>
        </w:rPr>
      </w:pPr>
    </w:p>
    <w:p w:rsidR="00DB34BD" w:rsidRPr="004765C7" w:rsidRDefault="00DB34BD" w:rsidP="00DB34BD">
      <w:pPr>
        <w:numPr>
          <w:ilvl w:val="2"/>
          <w:numId w:val="1"/>
        </w:numPr>
        <w:rPr>
          <w:rFonts w:ascii="Arial" w:hAnsi="Arial" w:cs="Arial"/>
          <w:sz w:val="16"/>
        </w:rPr>
      </w:pPr>
      <w:r w:rsidRPr="004765C7">
        <w:rPr>
          <w:rFonts w:ascii="Arial" w:hAnsi="Arial" w:cs="Arial"/>
          <w:sz w:val="16"/>
        </w:rPr>
        <w:t>a tenderer for the supply of construction (building) services not established within the Shire of Cunderdin on that component of the price relating to construction (building) services provided by local suppliers;</w:t>
      </w:r>
    </w:p>
    <w:p w:rsidR="00DB34BD" w:rsidRPr="004765C7" w:rsidRDefault="00DB34BD" w:rsidP="00DB34BD">
      <w:pPr>
        <w:rPr>
          <w:rFonts w:ascii="Arial" w:hAnsi="Arial" w:cs="Arial"/>
          <w:sz w:val="16"/>
        </w:rPr>
      </w:pPr>
    </w:p>
    <w:p w:rsidR="00DB34BD" w:rsidRPr="004765C7" w:rsidRDefault="00DB34BD" w:rsidP="00DB34BD">
      <w:pPr>
        <w:numPr>
          <w:ilvl w:val="0"/>
          <w:numId w:val="1"/>
        </w:numPr>
        <w:rPr>
          <w:rFonts w:ascii="Arial" w:hAnsi="Arial" w:cs="Arial"/>
          <w:sz w:val="16"/>
        </w:rPr>
      </w:pPr>
      <w:proofErr w:type="spellStart"/>
      <w:r w:rsidRPr="004765C7">
        <w:rPr>
          <w:rFonts w:ascii="Arial" w:hAnsi="Arial" w:cs="Arial"/>
          <w:sz w:val="16"/>
        </w:rPr>
        <w:t>Not withstanding</w:t>
      </w:r>
      <w:proofErr w:type="spellEnd"/>
      <w:r w:rsidRPr="004765C7">
        <w:rPr>
          <w:rFonts w:ascii="Arial" w:hAnsi="Arial" w:cs="Arial"/>
          <w:sz w:val="16"/>
        </w:rPr>
        <w:t xml:space="preserve"> statements 1) and 2) above price is only one of the factors to be assessed when the local government decides which tender to accept, and the cheapest or any tender will not necessarily be accepted.  Other factors to be considered include due diligence, quality of the product, terms of supply including after sales service, freight costs, urgency factors and budget provision.</w:t>
      </w:r>
    </w:p>
    <w:p w:rsidR="00DB34BD" w:rsidRPr="004765C7" w:rsidRDefault="00DB34BD" w:rsidP="00DB34BD">
      <w:pPr>
        <w:ind w:left="1440"/>
        <w:rPr>
          <w:rFonts w:ascii="Arial" w:hAnsi="Arial" w:cs="Arial"/>
          <w:sz w:val="16"/>
        </w:rPr>
      </w:pPr>
    </w:p>
    <w:p w:rsidR="00DB34BD" w:rsidRPr="004765C7" w:rsidRDefault="00DB34BD" w:rsidP="00DB34BD">
      <w:pPr>
        <w:numPr>
          <w:ilvl w:val="0"/>
          <w:numId w:val="1"/>
        </w:numPr>
        <w:rPr>
          <w:rFonts w:ascii="Arial" w:hAnsi="Arial" w:cs="Arial"/>
          <w:sz w:val="16"/>
        </w:rPr>
      </w:pPr>
      <w:r w:rsidRPr="004765C7">
        <w:rPr>
          <w:rFonts w:ascii="Arial" w:hAnsi="Arial" w:cs="Arial"/>
          <w:sz w:val="16"/>
        </w:rPr>
        <w:t>A regional price preference applies whenever tenders are called unless the local government resolves otherwise in reference to a particular tender.</w:t>
      </w:r>
    </w:p>
    <w:p w:rsidR="00F82FA3" w:rsidRDefault="00F82FA3">
      <w:bookmarkStart w:id="0" w:name="_GoBack"/>
      <w:bookmarkEnd w:id="0"/>
    </w:p>
    <w:sectPr w:rsidR="00F82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773B3"/>
    <w:multiLevelType w:val="hybridMultilevel"/>
    <w:tmpl w:val="B6BCC77C"/>
    <w:lvl w:ilvl="0" w:tplc="61B6E39A">
      <w:start w:val="1"/>
      <w:numFmt w:val="decimal"/>
      <w:lvlText w:val="%1)"/>
      <w:lvlJc w:val="left"/>
      <w:pPr>
        <w:tabs>
          <w:tab w:val="num" w:pos="2160"/>
        </w:tabs>
        <w:ind w:left="2160" w:hanging="720"/>
      </w:pPr>
      <w:rPr>
        <w:rFonts w:hint="default"/>
      </w:rPr>
    </w:lvl>
    <w:lvl w:ilvl="1" w:tplc="1A860E52">
      <w:start w:val="1"/>
      <w:numFmt w:val="upperLetter"/>
      <w:lvlText w:val="%2)"/>
      <w:lvlJc w:val="left"/>
      <w:pPr>
        <w:tabs>
          <w:tab w:val="num" w:pos="3240"/>
        </w:tabs>
        <w:ind w:left="3240" w:hanging="1080"/>
      </w:pPr>
      <w:rPr>
        <w:rFonts w:hint="default"/>
      </w:rPr>
    </w:lvl>
    <w:lvl w:ilvl="2" w:tplc="DA7E9732">
      <w:start w:val="1"/>
      <w:numFmt w:val="lowerLetter"/>
      <w:lvlText w:val="%3)"/>
      <w:lvlJc w:val="left"/>
      <w:pPr>
        <w:tabs>
          <w:tab w:val="num" w:pos="3420"/>
        </w:tabs>
        <w:ind w:left="3420" w:hanging="360"/>
      </w:pPr>
      <w:rPr>
        <w:rFonts w:hint="default"/>
      </w:rPr>
    </w:lvl>
    <w:lvl w:ilvl="3" w:tplc="6F243392">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BD"/>
    <w:rsid w:val="00027209"/>
    <w:rsid w:val="00031D9C"/>
    <w:rsid w:val="00045171"/>
    <w:rsid w:val="00057307"/>
    <w:rsid w:val="00065B86"/>
    <w:rsid w:val="000765CE"/>
    <w:rsid w:val="00077535"/>
    <w:rsid w:val="000C52EB"/>
    <w:rsid w:val="001349D4"/>
    <w:rsid w:val="00135073"/>
    <w:rsid w:val="001619FC"/>
    <w:rsid w:val="00171D5F"/>
    <w:rsid w:val="001811A8"/>
    <w:rsid w:val="00194837"/>
    <w:rsid w:val="001F47ED"/>
    <w:rsid w:val="002008F6"/>
    <w:rsid w:val="002015FD"/>
    <w:rsid w:val="0020594E"/>
    <w:rsid w:val="00216EA9"/>
    <w:rsid w:val="00217658"/>
    <w:rsid w:val="0024535E"/>
    <w:rsid w:val="002553E3"/>
    <w:rsid w:val="002A6520"/>
    <w:rsid w:val="002A7663"/>
    <w:rsid w:val="002B3CE4"/>
    <w:rsid w:val="002C27D8"/>
    <w:rsid w:val="002C7899"/>
    <w:rsid w:val="002F2148"/>
    <w:rsid w:val="002F44CC"/>
    <w:rsid w:val="00301447"/>
    <w:rsid w:val="00330D2C"/>
    <w:rsid w:val="003460E3"/>
    <w:rsid w:val="003559F6"/>
    <w:rsid w:val="00366E2C"/>
    <w:rsid w:val="0037334A"/>
    <w:rsid w:val="00423862"/>
    <w:rsid w:val="00427BE2"/>
    <w:rsid w:val="00430549"/>
    <w:rsid w:val="00447F4D"/>
    <w:rsid w:val="00451C30"/>
    <w:rsid w:val="004732E3"/>
    <w:rsid w:val="004A28D8"/>
    <w:rsid w:val="004B3AF8"/>
    <w:rsid w:val="004C4748"/>
    <w:rsid w:val="004F2CD6"/>
    <w:rsid w:val="004F2DAB"/>
    <w:rsid w:val="00511F51"/>
    <w:rsid w:val="00536DE3"/>
    <w:rsid w:val="00545A68"/>
    <w:rsid w:val="00554768"/>
    <w:rsid w:val="00554D27"/>
    <w:rsid w:val="005653EF"/>
    <w:rsid w:val="005714F5"/>
    <w:rsid w:val="00573F6B"/>
    <w:rsid w:val="005C4D2C"/>
    <w:rsid w:val="005E2502"/>
    <w:rsid w:val="005F3565"/>
    <w:rsid w:val="00600A47"/>
    <w:rsid w:val="0061001A"/>
    <w:rsid w:val="00620A2B"/>
    <w:rsid w:val="00620E0A"/>
    <w:rsid w:val="006213D6"/>
    <w:rsid w:val="00622F3F"/>
    <w:rsid w:val="00627D15"/>
    <w:rsid w:val="0069218E"/>
    <w:rsid w:val="006A639D"/>
    <w:rsid w:val="006B6FE6"/>
    <w:rsid w:val="006D7EBC"/>
    <w:rsid w:val="00701E23"/>
    <w:rsid w:val="007025AB"/>
    <w:rsid w:val="0071382B"/>
    <w:rsid w:val="00722CEC"/>
    <w:rsid w:val="007339D5"/>
    <w:rsid w:val="007359A2"/>
    <w:rsid w:val="00746770"/>
    <w:rsid w:val="00747079"/>
    <w:rsid w:val="00750323"/>
    <w:rsid w:val="00764AA6"/>
    <w:rsid w:val="0076650C"/>
    <w:rsid w:val="007F0020"/>
    <w:rsid w:val="007F14C8"/>
    <w:rsid w:val="00815A5F"/>
    <w:rsid w:val="00836976"/>
    <w:rsid w:val="00843F3A"/>
    <w:rsid w:val="008456A2"/>
    <w:rsid w:val="008C0B2A"/>
    <w:rsid w:val="008C1D22"/>
    <w:rsid w:val="008C4CA1"/>
    <w:rsid w:val="008D2385"/>
    <w:rsid w:val="008D71E2"/>
    <w:rsid w:val="008E40F4"/>
    <w:rsid w:val="008F44A9"/>
    <w:rsid w:val="009141B6"/>
    <w:rsid w:val="009221DB"/>
    <w:rsid w:val="00934511"/>
    <w:rsid w:val="009646B1"/>
    <w:rsid w:val="00973711"/>
    <w:rsid w:val="00990E79"/>
    <w:rsid w:val="009D0379"/>
    <w:rsid w:val="009D4A50"/>
    <w:rsid w:val="009F71E0"/>
    <w:rsid w:val="00A02D4C"/>
    <w:rsid w:val="00A157DA"/>
    <w:rsid w:val="00A23DD3"/>
    <w:rsid w:val="00A664CD"/>
    <w:rsid w:val="00A71620"/>
    <w:rsid w:val="00A83E87"/>
    <w:rsid w:val="00A86789"/>
    <w:rsid w:val="00A87B87"/>
    <w:rsid w:val="00AE6782"/>
    <w:rsid w:val="00AF4307"/>
    <w:rsid w:val="00B10DDF"/>
    <w:rsid w:val="00B20071"/>
    <w:rsid w:val="00B219C2"/>
    <w:rsid w:val="00B410A5"/>
    <w:rsid w:val="00B50398"/>
    <w:rsid w:val="00B62C98"/>
    <w:rsid w:val="00B931A4"/>
    <w:rsid w:val="00BC0171"/>
    <w:rsid w:val="00BD7131"/>
    <w:rsid w:val="00C119A9"/>
    <w:rsid w:val="00C160C9"/>
    <w:rsid w:val="00C23190"/>
    <w:rsid w:val="00C75036"/>
    <w:rsid w:val="00C7587A"/>
    <w:rsid w:val="00C76983"/>
    <w:rsid w:val="00C93BCB"/>
    <w:rsid w:val="00C943C4"/>
    <w:rsid w:val="00CB1A85"/>
    <w:rsid w:val="00CB1EB6"/>
    <w:rsid w:val="00CB3306"/>
    <w:rsid w:val="00CC1DF4"/>
    <w:rsid w:val="00CD5D3E"/>
    <w:rsid w:val="00CE45BE"/>
    <w:rsid w:val="00D14DB7"/>
    <w:rsid w:val="00D208D1"/>
    <w:rsid w:val="00D55080"/>
    <w:rsid w:val="00D67BE6"/>
    <w:rsid w:val="00D705C1"/>
    <w:rsid w:val="00D72126"/>
    <w:rsid w:val="00D74CA4"/>
    <w:rsid w:val="00DA6437"/>
    <w:rsid w:val="00DB0F58"/>
    <w:rsid w:val="00DB34BD"/>
    <w:rsid w:val="00DB407C"/>
    <w:rsid w:val="00DF2AEB"/>
    <w:rsid w:val="00E003FC"/>
    <w:rsid w:val="00E32074"/>
    <w:rsid w:val="00E32C54"/>
    <w:rsid w:val="00E34770"/>
    <w:rsid w:val="00E520BA"/>
    <w:rsid w:val="00E7294C"/>
    <w:rsid w:val="00E9696A"/>
    <w:rsid w:val="00EC63B5"/>
    <w:rsid w:val="00ED6C18"/>
    <w:rsid w:val="00EE2C9A"/>
    <w:rsid w:val="00EE5A50"/>
    <w:rsid w:val="00EF463C"/>
    <w:rsid w:val="00F26FDD"/>
    <w:rsid w:val="00F47DE7"/>
    <w:rsid w:val="00F55190"/>
    <w:rsid w:val="00F807FD"/>
    <w:rsid w:val="00F82FA3"/>
    <w:rsid w:val="00FA56A9"/>
    <w:rsid w:val="00FD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Samson</dc:creator>
  <cp:lastModifiedBy>Michelle Samson</cp:lastModifiedBy>
  <cp:revision>1</cp:revision>
  <cp:lastPrinted>2012-04-05T01:15:00Z</cp:lastPrinted>
  <dcterms:created xsi:type="dcterms:W3CDTF">2012-04-05T01:14:00Z</dcterms:created>
  <dcterms:modified xsi:type="dcterms:W3CDTF">2012-04-05T01:26:00Z</dcterms:modified>
</cp:coreProperties>
</file>